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7DB2" w14:textId="58356EB6" w:rsidR="009E7195" w:rsidRPr="001C49CD" w:rsidRDefault="009E7195" w:rsidP="009E7195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1C49CD">
        <w:rPr>
          <w:rFonts w:ascii="Times New Roman" w:hAnsi="Times New Roman" w:cs="Times New Roman"/>
          <w:b/>
          <w:bCs/>
          <w:color w:val="auto"/>
        </w:rPr>
        <w:t>HOW TO ADVOCATE STRATEGICALLY IN CHILD PROTECTION CASES THROUGH A HUMAN RIGHTS LENSE</w:t>
      </w:r>
    </w:p>
    <w:p w14:paraId="1C2E0C80" w14:textId="445D08AE" w:rsidR="009E7195" w:rsidRDefault="009E7195" w:rsidP="009E7195"/>
    <w:p w14:paraId="150911BD" w14:textId="3FEEF6B9" w:rsidR="005B2D08" w:rsidRPr="005B2D08" w:rsidRDefault="005B2D08" w:rsidP="001D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AEB" w:themeFill="accent1" w:themeFillTint="66"/>
        <w:jc w:val="center"/>
        <w:rPr>
          <w:b/>
          <w:bCs/>
        </w:rPr>
      </w:pPr>
      <w:r w:rsidRPr="005B2D08">
        <w:rPr>
          <w:b/>
          <w:bCs/>
        </w:rPr>
        <w:t>Arguing Disability Discrimination in Child Protection Cases</w:t>
      </w:r>
    </w:p>
    <w:p w14:paraId="35ECF4CA" w14:textId="02FD45B3" w:rsidR="005B2D08" w:rsidRPr="00176415" w:rsidRDefault="001C49CD" w:rsidP="009E7195">
      <w:pPr>
        <w:rPr>
          <w:b/>
          <w:bCs/>
          <w:highlight w:val="lightGray"/>
        </w:rPr>
      </w:pPr>
      <w:r w:rsidRPr="00176415">
        <w:rPr>
          <w:b/>
          <w:bCs/>
          <w:highlight w:val="lightGray"/>
        </w:rPr>
        <w:t>Abbreviations</w:t>
      </w:r>
      <w:r>
        <w:rPr>
          <w:b/>
          <w:bCs/>
          <w:highlight w:val="lightGray"/>
        </w:rPr>
        <w:t>:</w:t>
      </w:r>
      <w:r w:rsidR="005B2D08" w:rsidRPr="00176415">
        <w:rPr>
          <w:b/>
          <w:bCs/>
          <w:highlight w:val="lightGray"/>
        </w:rPr>
        <w:t xml:space="preserve"> </w:t>
      </w:r>
    </w:p>
    <w:p w14:paraId="2C80F26A" w14:textId="3D542489" w:rsidR="005B2D08" w:rsidRPr="005B2D08" w:rsidRDefault="005B2D08" w:rsidP="009E7195">
      <w:pPr>
        <w:rPr>
          <w:b/>
          <w:bCs/>
        </w:rPr>
      </w:pPr>
      <w:r w:rsidRPr="001D48F0">
        <w:rPr>
          <w:b/>
          <w:bCs/>
          <w:i/>
          <w:iCs/>
          <w:color w:val="D86DCB" w:themeColor="accent5" w:themeTint="99"/>
        </w:rPr>
        <w:t xml:space="preserve">DDA </w:t>
      </w:r>
      <w:r w:rsidRPr="005B2D08">
        <w:rPr>
          <w:b/>
          <w:bCs/>
        </w:rPr>
        <w:t xml:space="preserve">– </w:t>
      </w:r>
      <w:r w:rsidRPr="001D48F0">
        <w:rPr>
          <w:i/>
          <w:iCs/>
        </w:rPr>
        <w:t>Disability Discrimination Act, 1992</w:t>
      </w:r>
      <w:r w:rsidRPr="005B2D08">
        <w:t xml:space="preserve"> (Cth)</w:t>
      </w:r>
      <w:r w:rsidR="001D48F0">
        <w:t>.</w:t>
      </w:r>
    </w:p>
    <w:p w14:paraId="1589CFD4" w14:textId="600A6ECA" w:rsidR="005B2D08" w:rsidRPr="005B2D08" w:rsidRDefault="005B2D08" w:rsidP="009E7195">
      <w:pPr>
        <w:rPr>
          <w:b/>
          <w:bCs/>
        </w:rPr>
      </w:pPr>
      <w:r w:rsidRPr="001D48F0">
        <w:rPr>
          <w:b/>
          <w:bCs/>
          <w:i/>
          <w:iCs/>
          <w:color w:val="D86DCB" w:themeColor="accent5" w:themeTint="99"/>
        </w:rPr>
        <w:t>EOA –</w:t>
      </w:r>
      <w:r w:rsidRPr="001D48F0">
        <w:rPr>
          <w:b/>
          <w:bCs/>
          <w:color w:val="D86DCB" w:themeColor="accent5" w:themeTint="99"/>
        </w:rPr>
        <w:t xml:space="preserve"> </w:t>
      </w:r>
      <w:r w:rsidRPr="001D48F0">
        <w:rPr>
          <w:i/>
          <w:iCs/>
        </w:rPr>
        <w:t>Equal Opportunity Act,</w:t>
      </w:r>
      <w:r w:rsidRPr="005B2D08">
        <w:t xml:space="preserve"> </w:t>
      </w:r>
      <w:r w:rsidRPr="001C49CD">
        <w:rPr>
          <w:i/>
          <w:iCs/>
        </w:rPr>
        <w:t>2010</w:t>
      </w:r>
      <w:r w:rsidRPr="005B2D08">
        <w:t xml:space="preserve"> (Vic)</w:t>
      </w:r>
      <w:r w:rsidR="001D48F0">
        <w:t>.</w:t>
      </w:r>
      <w:r w:rsidRPr="005B2D08">
        <w:rPr>
          <w:b/>
          <w:bCs/>
        </w:rPr>
        <w:t xml:space="preserve"> </w:t>
      </w:r>
    </w:p>
    <w:p w14:paraId="7D22091A" w14:textId="37AAFC5E" w:rsidR="005B2D08" w:rsidRPr="005B2D08" w:rsidRDefault="005B2D08" w:rsidP="009E7195">
      <w:pPr>
        <w:rPr>
          <w:b/>
          <w:bCs/>
        </w:rPr>
      </w:pPr>
      <w:r w:rsidRPr="001D48F0">
        <w:rPr>
          <w:b/>
          <w:bCs/>
          <w:i/>
          <w:iCs/>
          <w:color w:val="D86DCB" w:themeColor="accent5" w:themeTint="99"/>
        </w:rPr>
        <w:t>Charter</w:t>
      </w:r>
      <w:r w:rsidRPr="005B2D08">
        <w:rPr>
          <w:b/>
          <w:bCs/>
        </w:rPr>
        <w:t xml:space="preserve"> </w:t>
      </w:r>
      <w:r w:rsidRPr="001D48F0">
        <w:rPr>
          <w:b/>
          <w:bCs/>
          <w:i/>
          <w:iCs/>
        </w:rPr>
        <w:t xml:space="preserve">– </w:t>
      </w:r>
      <w:r w:rsidRPr="001D48F0">
        <w:rPr>
          <w:i/>
          <w:iCs/>
        </w:rPr>
        <w:t>Charter of Human Rights and Responsibilities Act, 2009 (</w:t>
      </w:r>
      <w:r w:rsidRPr="005B2D08">
        <w:t>Vic).</w:t>
      </w:r>
    </w:p>
    <w:p w14:paraId="22CB507D" w14:textId="1C875CEF" w:rsidR="005B2D08" w:rsidRPr="005B2D08" w:rsidRDefault="005B2D08" w:rsidP="009E7195">
      <w:pPr>
        <w:rPr>
          <w:b/>
          <w:bCs/>
        </w:rPr>
      </w:pPr>
      <w:r w:rsidRPr="001D48F0">
        <w:rPr>
          <w:b/>
          <w:bCs/>
          <w:i/>
          <w:iCs/>
          <w:color w:val="D86DCB" w:themeColor="accent5" w:themeTint="99"/>
        </w:rPr>
        <w:t xml:space="preserve">CYFA </w:t>
      </w:r>
      <w:r w:rsidRPr="005B2D08">
        <w:rPr>
          <w:b/>
          <w:bCs/>
        </w:rPr>
        <w:t xml:space="preserve">– </w:t>
      </w:r>
      <w:r w:rsidRPr="001D48F0">
        <w:rPr>
          <w:i/>
          <w:iCs/>
        </w:rPr>
        <w:t>Children, Youth and Families Act, 2005</w:t>
      </w:r>
      <w:r w:rsidRPr="005B2D08">
        <w:t xml:space="preserve"> (Vic)</w:t>
      </w:r>
      <w:r w:rsidR="00584F34">
        <w:t>.</w:t>
      </w:r>
    </w:p>
    <w:p w14:paraId="77D828F3" w14:textId="54D8F8BD" w:rsidR="005B2D08" w:rsidRPr="005B2D08" w:rsidRDefault="005B2D08" w:rsidP="009E7195">
      <w:pPr>
        <w:rPr>
          <w:b/>
          <w:bCs/>
        </w:rPr>
      </w:pPr>
      <w:r w:rsidRPr="00176415">
        <w:rPr>
          <w:b/>
          <w:bCs/>
          <w:highlight w:val="lightGray"/>
        </w:rPr>
        <w:t>STEP 1 – Determine whether disability discrimination has occurred.</w:t>
      </w:r>
      <w:r w:rsidRPr="005B2D08">
        <w:rPr>
          <w:b/>
          <w:bCs/>
        </w:rPr>
        <w:t xml:space="preserve"> </w:t>
      </w:r>
    </w:p>
    <w:p w14:paraId="0E7A7F8B" w14:textId="1542C97F" w:rsidR="009E7195" w:rsidRDefault="009E7195" w:rsidP="009E7195">
      <w:r w:rsidRPr="001D48F0">
        <w:rPr>
          <w:b/>
          <w:bCs/>
          <w:i/>
          <w:iCs/>
          <w:color w:val="D86DCB" w:themeColor="accent5" w:themeTint="99"/>
        </w:rPr>
        <w:t>Direct Disability Discrimination</w:t>
      </w:r>
      <w:r w:rsidRPr="005B2D08">
        <w:rPr>
          <w:b/>
          <w:bCs/>
          <w:i/>
          <w:iCs/>
        </w:rPr>
        <w:t>:</w:t>
      </w:r>
      <w:r>
        <w:t xml:space="preserve"> when a person is singled out and treated unfairly on purpose because they have a disability. </w:t>
      </w:r>
    </w:p>
    <w:p w14:paraId="23674B85" w14:textId="640413DA" w:rsidR="009E7195" w:rsidRDefault="009E7195" w:rsidP="009E7195">
      <w:pPr>
        <w:pStyle w:val="ListParagraph"/>
        <w:numPr>
          <w:ilvl w:val="0"/>
          <w:numId w:val="1"/>
        </w:numPr>
      </w:pPr>
      <w:r w:rsidRPr="001D48F0">
        <w:rPr>
          <w:b/>
          <w:bCs/>
        </w:rPr>
        <w:t>EG</w:t>
      </w:r>
      <w:r>
        <w:t xml:space="preserve"> – if a restaurant refused a person entry because they are blind or had a guide dog. </w:t>
      </w:r>
    </w:p>
    <w:p w14:paraId="6CDF7135" w14:textId="48A3438F" w:rsidR="009E7195" w:rsidRDefault="009E7195" w:rsidP="009E7195">
      <w:r w:rsidRPr="001D48F0">
        <w:rPr>
          <w:b/>
          <w:bCs/>
          <w:i/>
          <w:iCs/>
          <w:color w:val="D86DCB" w:themeColor="accent5" w:themeTint="99"/>
        </w:rPr>
        <w:t>Indirect Disability Discrimination</w:t>
      </w:r>
      <w:r>
        <w:t xml:space="preserve">: </w:t>
      </w:r>
      <w:r w:rsidR="005B2D08">
        <w:t xml:space="preserve">can be a rule, policy or practice that seems fair for everyone but </w:t>
      </w:r>
      <w:r w:rsidR="005E3463">
        <w:t>puts</w:t>
      </w:r>
      <w:r w:rsidR="005B2D08">
        <w:t xml:space="preserve"> people with a disability at a disadvantage. </w:t>
      </w:r>
    </w:p>
    <w:p w14:paraId="312E349C" w14:textId="6302FF2E" w:rsidR="005B2D08" w:rsidRDefault="005B2D08" w:rsidP="005B2D08">
      <w:pPr>
        <w:pStyle w:val="ListParagraph"/>
        <w:numPr>
          <w:ilvl w:val="0"/>
          <w:numId w:val="1"/>
        </w:numPr>
      </w:pPr>
      <w:r w:rsidRPr="001D48F0">
        <w:rPr>
          <w:b/>
          <w:bCs/>
        </w:rPr>
        <w:t>EG</w:t>
      </w:r>
      <w:r>
        <w:t xml:space="preserve"> – if the only way to enter a public building is by a set of stairs. This is because people who use wheelchairs would be unable to use the building. </w:t>
      </w:r>
    </w:p>
    <w:p w14:paraId="6E98A51B" w14:textId="6358355A" w:rsidR="0024356C" w:rsidRPr="0024356C" w:rsidRDefault="0024356C" w:rsidP="0024356C">
      <w:pPr>
        <w:rPr>
          <w:b/>
          <w:bCs/>
        </w:rPr>
      </w:pPr>
      <w:r w:rsidRPr="0024356C">
        <w:rPr>
          <w:b/>
          <w:bCs/>
          <w:highlight w:val="lightGray"/>
        </w:rPr>
        <w:t>STEP 2 – Establish that your client has a disability</w:t>
      </w:r>
      <w:r w:rsidRPr="0024356C">
        <w:rPr>
          <w:b/>
          <w:bCs/>
        </w:rPr>
        <w:t xml:space="preserve"> </w:t>
      </w:r>
    </w:p>
    <w:p w14:paraId="57A60216" w14:textId="7D2FF72C" w:rsidR="005B2D08" w:rsidRPr="005B2D08" w:rsidRDefault="005B2D08" w:rsidP="005B2D08">
      <w:pPr>
        <w:rPr>
          <w:b/>
          <w:bCs/>
        </w:rPr>
      </w:pPr>
      <w:r w:rsidRPr="005B2D08">
        <w:rPr>
          <w:b/>
          <w:bCs/>
          <w:highlight w:val="lightGray"/>
        </w:rPr>
        <w:t xml:space="preserve">STEP </w:t>
      </w:r>
      <w:r w:rsidR="0024356C">
        <w:rPr>
          <w:b/>
          <w:bCs/>
          <w:highlight w:val="lightGray"/>
        </w:rPr>
        <w:t>3</w:t>
      </w:r>
      <w:r w:rsidRPr="005B2D08">
        <w:rPr>
          <w:b/>
          <w:bCs/>
          <w:highlight w:val="lightGray"/>
        </w:rPr>
        <w:t xml:space="preserve"> – </w:t>
      </w:r>
      <w:r w:rsidR="0024356C">
        <w:rPr>
          <w:b/>
          <w:bCs/>
          <w:highlight w:val="lightGray"/>
        </w:rPr>
        <w:t xml:space="preserve">Argue </w:t>
      </w:r>
      <w:r w:rsidRPr="005B2D08">
        <w:rPr>
          <w:b/>
          <w:bCs/>
          <w:highlight w:val="lightGray"/>
        </w:rPr>
        <w:t>that</w:t>
      </w:r>
      <w:r w:rsidR="005E3463">
        <w:rPr>
          <w:b/>
          <w:bCs/>
          <w:highlight w:val="lightGray"/>
        </w:rPr>
        <w:t xml:space="preserve"> DFFH</w:t>
      </w:r>
      <w:r w:rsidRPr="005B2D08">
        <w:rPr>
          <w:b/>
          <w:bCs/>
          <w:highlight w:val="lightGray"/>
        </w:rPr>
        <w:t xml:space="preserve"> are providing a </w:t>
      </w:r>
      <w:r w:rsidRPr="005E3463">
        <w:rPr>
          <w:b/>
          <w:bCs/>
          <w:highlight w:val="lightGray"/>
        </w:rPr>
        <w:t>servi</w:t>
      </w:r>
      <w:r w:rsidR="005E3463" w:rsidRPr="005E3463">
        <w:rPr>
          <w:b/>
          <w:bCs/>
          <w:highlight w:val="lightGray"/>
        </w:rPr>
        <w:t>ce to your client</w:t>
      </w:r>
    </w:p>
    <w:p w14:paraId="35B5930A" w14:textId="0B68BC60" w:rsidR="005B2D08" w:rsidRDefault="005B2D08" w:rsidP="005B2D08">
      <w:r w:rsidRPr="00176415">
        <w:rPr>
          <w:b/>
          <w:bCs/>
        </w:rPr>
        <w:t>Note</w:t>
      </w:r>
      <w:r>
        <w:t xml:space="preserve"> – the law is currently unclear about what is a service, so you will need to work hard to argue your case</w:t>
      </w:r>
      <w:r w:rsidR="00F134B4">
        <w:t>.</w:t>
      </w:r>
      <w:r>
        <w:t xml:space="preserve"> </w:t>
      </w:r>
    </w:p>
    <w:p w14:paraId="10D9525F" w14:textId="77777777" w:rsidR="00176415" w:rsidRDefault="00176415" w:rsidP="005B2D08"/>
    <w:p w14:paraId="5CF61A89" w14:textId="090114DD" w:rsidR="00176415" w:rsidRPr="00176415" w:rsidRDefault="00176415" w:rsidP="005E3463">
      <w:pPr>
        <w:jc w:val="center"/>
        <w:rPr>
          <w:b/>
          <w:bCs/>
        </w:rPr>
      </w:pPr>
      <w:r w:rsidRPr="00176415">
        <w:rPr>
          <w:b/>
          <w:bCs/>
        </w:rPr>
        <w:lastRenderedPageBreak/>
        <w:t>What does the legislation say about what a service is?</w:t>
      </w:r>
    </w:p>
    <w:p w14:paraId="70CC7805" w14:textId="018A689A" w:rsidR="00F37BD1" w:rsidRDefault="005B2D08" w:rsidP="00176415">
      <w:pPr>
        <w:pStyle w:val="ListParagraph"/>
        <w:numPr>
          <w:ilvl w:val="0"/>
          <w:numId w:val="1"/>
        </w:numPr>
      </w:pPr>
      <w:r w:rsidRPr="00176415">
        <w:rPr>
          <w:b/>
          <w:bCs/>
          <w:i/>
          <w:iCs/>
          <w:color w:val="D86DCB" w:themeColor="accent5" w:themeTint="99"/>
        </w:rPr>
        <w:t xml:space="preserve">Definition of Service in </w:t>
      </w:r>
      <w:r w:rsidR="00F37BD1" w:rsidRPr="00176415">
        <w:rPr>
          <w:b/>
          <w:bCs/>
          <w:i/>
          <w:iCs/>
          <w:color w:val="D86DCB" w:themeColor="accent5" w:themeTint="99"/>
        </w:rPr>
        <w:t>S 4 of the DDA</w:t>
      </w:r>
      <w:r w:rsidR="00F37BD1">
        <w:t xml:space="preserve">: states that a service includes </w:t>
      </w:r>
      <w:r w:rsidR="00F37BD1" w:rsidRPr="00176415">
        <w:rPr>
          <w:b/>
          <w:bCs/>
          <w:i/>
          <w:iCs/>
        </w:rPr>
        <w:t>‘services of a kind provided by a government, government authority or local government’</w:t>
      </w:r>
      <w:r w:rsidR="00F37BD1">
        <w:t>. DFFH</w:t>
      </w:r>
      <w:r w:rsidR="005E3463">
        <w:t xml:space="preserve"> </w:t>
      </w:r>
      <w:r w:rsidR="00F37BD1">
        <w:t xml:space="preserve">falls within that because it is: </w:t>
      </w:r>
    </w:p>
    <w:p w14:paraId="1A3B9B48" w14:textId="77777777" w:rsidR="00176415" w:rsidRDefault="00176415" w:rsidP="00176415">
      <w:pPr>
        <w:pStyle w:val="ListParagraph"/>
      </w:pPr>
    </w:p>
    <w:p w14:paraId="756D45F5" w14:textId="2EF72429" w:rsidR="005B2D08" w:rsidRDefault="00F37BD1" w:rsidP="00F37BD1">
      <w:pPr>
        <w:pStyle w:val="ListParagraph"/>
        <w:numPr>
          <w:ilvl w:val="0"/>
          <w:numId w:val="2"/>
        </w:numPr>
      </w:pPr>
      <w:r>
        <w:t xml:space="preserve">Government funded; </w:t>
      </w:r>
    </w:p>
    <w:p w14:paraId="72F85843" w14:textId="6F1A765A" w:rsidR="00F37BD1" w:rsidRDefault="00F37BD1" w:rsidP="00F37BD1">
      <w:pPr>
        <w:pStyle w:val="ListParagraph"/>
        <w:numPr>
          <w:ilvl w:val="0"/>
          <w:numId w:val="2"/>
        </w:numPr>
      </w:pPr>
      <w:r>
        <w:t>A Victorian Government organisation</w:t>
      </w:r>
      <w:r w:rsidR="006E097F">
        <w:t>;</w:t>
      </w:r>
      <w:r>
        <w:t xml:space="preserve"> </w:t>
      </w:r>
    </w:p>
    <w:p w14:paraId="68E20D8A" w14:textId="6B7BE9FC" w:rsidR="00F37BD1" w:rsidRDefault="00F37BD1" w:rsidP="00F37BD1">
      <w:pPr>
        <w:pStyle w:val="ListParagraph"/>
        <w:numPr>
          <w:ilvl w:val="0"/>
          <w:numId w:val="2"/>
        </w:numPr>
      </w:pPr>
      <w:r>
        <w:t xml:space="preserve">Exercises statutory powers; and </w:t>
      </w:r>
    </w:p>
    <w:p w14:paraId="39A8A176" w14:textId="512A40C2" w:rsidR="00F37BD1" w:rsidRDefault="00F37BD1" w:rsidP="00F37BD1">
      <w:pPr>
        <w:pStyle w:val="ListParagraph"/>
        <w:numPr>
          <w:ilvl w:val="0"/>
          <w:numId w:val="2"/>
        </w:numPr>
      </w:pPr>
      <w:r>
        <w:t xml:space="preserve">Performs public welfare and protection functions. </w:t>
      </w:r>
    </w:p>
    <w:p w14:paraId="0071D506" w14:textId="77777777" w:rsidR="00176415" w:rsidRDefault="00176415" w:rsidP="00176415">
      <w:pPr>
        <w:pStyle w:val="ListParagraph"/>
        <w:ind w:left="825"/>
      </w:pPr>
    </w:p>
    <w:p w14:paraId="43B861D5" w14:textId="6733C012" w:rsidR="00176415" w:rsidRDefault="00F37BD1" w:rsidP="00176415">
      <w:pPr>
        <w:pStyle w:val="ListParagraph"/>
        <w:numPr>
          <w:ilvl w:val="0"/>
          <w:numId w:val="1"/>
        </w:numPr>
      </w:pPr>
      <w:r w:rsidRPr="00176415">
        <w:rPr>
          <w:b/>
          <w:bCs/>
          <w:i/>
          <w:iCs/>
          <w:color w:val="D86DCB" w:themeColor="accent5" w:themeTint="99"/>
        </w:rPr>
        <w:t>Definition of Service in in s 4 of the EOA</w:t>
      </w:r>
      <w:r w:rsidRPr="00176415">
        <w:rPr>
          <w:color w:val="EE0000"/>
        </w:rPr>
        <w:t xml:space="preserve">: </w:t>
      </w:r>
      <w:r>
        <w:t xml:space="preserve">includes </w:t>
      </w:r>
      <w:r w:rsidRPr="00176415">
        <w:rPr>
          <w:b/>
          <w:bCs/>
          <w:i/>
          <w:iCs/>
        </w:rPr>
        <w:t>‘services provided by a government department (</w:t>
      </w:r>
      <w:r w:rsidR="005377FD" w:rsidRPr="00176415">
        <w:rPr>
          <w:b/>
          <w:bCs/>
          <w:i/>
          <w:iCs/>
        </w:rPr>
        <w:t>i.e.</w:t>
      </w:r>
      <w:r w:rsidRPr="00176415">
        <w:rPr>
          <w:b/>
          <w:bCs/>
          <w:i/>
          <w:iCs/>
        </w:rPr>
        <w:t xml:space="preserve"> DFFH), public</w:t>
      </w:r>
      <w:r w:rsidRPr="0024356C">
        <w:rPr>
          <w:b/>
          <w:bCs/>
          <w:i/>
          <w:iCs/>
        </w:rPr>
        <w:t xml:space="preserve"> authority, State owned enterprise or municipal council’</w:t>
      </w:r>
      <w:r>
        <w:t xml:space="preserve">. </w:t>
      </w:r>
    </w:p>
    <w:p w14:paraId="2DB3BA2E" w14:textId="28F4EC30" w:rsidR="00176415" w:rsidRDefault="00176415" w:rsidP="005E3463">
      <w:pPr>
        <w:jc w:val="center"/>
        <w:rPr>
          <w:b/>
          <w:bCs/>
        </w:rPr>
      </w:pPr>
      <w:r w:rsidRPr="00176415">
        <w:rPr>
          <w:b/>
          <w:bCs/>
        </w:rPr>
        <w:t xml:space="preserve">What </w:t>
      </w:r>
      <w:r w:rsidR="00B066B5">
        <w:rPr>
          <w:b/>
          <w:bCs/>
        </w:rPr>
        <w:t>are some of the cases</w:t>
      </w:r>
      <w:r w:rsidRPr="00176415">
        <w:rPr>
          <w:b/>
          <w:bCs/>
        </w:rPr>
        <w:t xml:space="preserve"> that support the argument that DFFH are providing a service?</w:t>
      </w:r>
    </w:p>
    <w:p w14:paraId="13F22E4E" w14:textId="350A813B" w:rsidR="00062498" w:rsidRDefault="00062498" w:rsidP="00062498">
      <w:pPr>
        <w:pStyle w:val="ListParagraph"/>
        <w:numPr>
          <w:ilvl w:val="0"/>
          <w:numId w:val="1"/>
        </w:numPr>
        <w:rPr>
          <w:b/>
          <w:bCs/>
        </w:rPr>
      </w:pPr>
      <w:r w:rsidRPr="00062498">
        <w:rPr>
          <w:b/>
          <w:bCs/>
          <w:i/>
          <w:iCs/>
          <w:color w:val="D86DCB" w:themeColor="accent5" w:themeTint="99"/>
        </w:rPr>
        <w:t>Bayside Health v Hilton [2007] VCAT 1488 [17</w:t>
      </w:r>
      <w:r w:rsidRPr="00A87588">
        <w:rPr>
          <w:b/>
          <w:bCs/>
          <w:color w:val="E59EDC" w:themeColor="accent5" w:themeTint="66"/>
        </w:rPr>
        <w:t xml:space="preserve">] </w:t>
      </w:r>
      <w:r w:rsidRPr="00A87588">
        <w:t>– Says that the term ‘service’ should be given a broad meaning.</w:t>
      </w:r>
      <w:r w:rsidRPr="00062498">
        <w:rPr>
          <w:b/>
          <w:bCs/>
        </w:rPr>
        <w:t xml:space="preserve"> </w:t>
      </w:r>
    </w:p>
    <w:p w14:paraId="3D70CEA0" w14:textId="77777777" w:rsidR="00A87588" w:rsidRDefault="00A87588" w:rsidP="00A87588">
      <w:pPr>
        <w:pStyle w:val="ListParagraph"/>
        <w:rPr>
          <w:b/>
          <w:bCs/>
        </w:rPr>
      </w:pPr>
    </w:p>
    <w:p w14:paraId="24BA011F" w14:textId="793BEEB7" w:rsidR="003A5C4A" w:rsidRPr="00F4206B" w:rsidRDefault="003A5C4A" w:rsidP="0006249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i/>
          <w:iCs/>
          <w:color w:val="D86DCB" w:themeColor="accent5" w:themeTint="99"/>
        </w:rPr>
        <w:t>Charles v State of Vic (Corrections Victoria) (Human Rights) [2015</w:t>
      </w:r>
      <w:r w:rsidR="007D7EA2">
        <w:rPr>
          <w:b/>
          <w:bCs/>
          <w:i/>
          <w:iCs/>
          <w:color w:val="D86DCB" w:themeColor="accent5" w:themeTint="99"/>
        </w:rPr>
        <w:t xml:space="preserve">] VCAT 375 [57] </w:t>
      </w:r>
      <w:r w:rsidR="007D7EA2" w:rsidRPr="00A87588">
        <w:t xml:space="preserve">– says that a service involves something provided to a person that often has a beneficial or a facilitative character </w:t>
      </w:r>
      <w:r w:rsidR="00A87588" w:rsidRPr="00A87588">
        <w:t>(</w:t>
      </w:r>
      <w:r w:rsidR="00594463" w:rsidRPr="00A87588">
        <w:t>e.g.</w:t>
      </w:r>
      <w:r w:rsidR="00A87588" w:rsidRPr="00A87588">
        <w:t xml:space="preserve"> assisting someone, enabling or providing access).</w:t>
      </w:r>
      <w:r w:rsidR="00A87588" w:rsidRPr="00A87588">
        <w:rPr>
          <w:b/>
          <w:bCs/>
          <w:i/>
          <w:iCs/>
        </w:rPr>
        <w:t xml:space="preserve"> </w:t>
      </w:r>
    </w:p>
    <w:p w14:paraId="052070CD" w14:textId="77777777" w:rsidR="00F4206B" w:rsidRPr="00F4206B" w:rsidRDefault="00F4206B" w:rsidP="00F4206B">
      <w:pPr>
        <w:pStyle w:val="ListParagraph"/>
        <w:rPr>
          <w:b/>
          <w:bCs/>
        </w:rPr>
      </w:pPr>
    </w:p>
    <w:p w14:paraId="0D1BF8B2" w14:textId="7E146D11" w:rsidR="00F4206B" w:rsidRPr="00A218CB" w:rsidRDefault="00F4206B" w:rsidP="00062498">
      <w:pPr>
        <w:pStyle w:val="ListParagraph"/>
        <w:numPr>
          <w:ilvl w:val="0"/>
          <w:numId w:val="1"/>
        </w:numPr>
        <w:rPr>
          <w:b/>
          <w:bCs/>
        </w:rPr>
      </w:pPr>
      <w:r w:rsidRPr="002B00E7">
        <w:rPr>
          <w:b/>
          <w:bCs/>
          <w:i/>
          <w:iCs/>
          <w:color w:val="D86DCB" w:themeColor="accent5" w:themeTint="99"/>
        </w:rPr>
        <w:t>Wotton v Queensland (No.5)</w:t>
      </w:r>
      <w:r w:rsidR="00B42A7F" w:rsidRPr="002B00E7">
        <w:rPr>
          <w:b/>
          <w:bCs/>
          <w:i/>
          <w:iCs/>
          <w:color w:val="D86DCB" w:themeColor="accent5" w:themeTint="99"/>
        </w:rPr>
        <w:t xml:space="preserve"> [2016]</w:t>
      </w:r>
      <w:r w:rsidRPr="00B42A7F">
        <w:rPr>
          <w:color w:val="E59EDC" w:themeColor="accent5" w:themeTint="66"/>
        </w:rPr>
        <w:t xml:space="preserve"> </w:t>
      </w:r>
      <w:r>
        <w:t>– shows that services can include government and even</w:t>
      </w:r>
      <w:r w:rsidR="002B00E7">
        <w:t xml:space="preserve"> include</w:t>
      </w:r>
      <w:r>
        <w:t xml:space="preserve"> coercive functions. </w:t>
      </w:r>
    </w:p>
    <w:p w14:paraId="077C8888" w14:textId="77777777" w:rsidR="00A218CB" w:rsidRPr="00A218CB" w:rsidRDefault="00A218CB" w:rsidP="00A218CB">
      <w:pPr>
        <w:pStyle w:val="ListParagraph"/>
        <w:rPr>
          <w:b/>
          <w:bCs/>
        </w:rPr>
      </w:pPr>
    </w:p>
    <w:p w14:paraId="06EE854D" w14:textId="3330AB2A" w:rsidR="00A218CB" w:rsidRPr="00753434" w:rsidRDefault="00A218CB" w:rsidP="00062498">
      <w:pPr>
        <w:pStyle w:val="ListParagraph"/>
        <w:numPr>
          <w:ilvl w:val="0"/>
          <w:numId w:val="1"/>
        </w:numPr>
        <w:rPr>
          <w:b/>
          <w:bCs/>
          <w:i/>
          <w:iCs/>
          <w:color w:val="D86DCB" w:themeColor="accent5" w:themeTint="99"/>
        </w:rPr>
      </w:pPr>
      <w:r w:rsidRPr="00A218CB">
        <w:rPr>
          <w:b/>
          <w:bCs/>
          <w:i/>
          <w:iCs/>
          <w:color w:val="D86DCB" w:themeColor="accent5" w:themeTint="99"/>
        </w:rPr>
        <w:t>Slatter v Manningham City Council [2013] VCAT 1869</w:t>
      </w:r>
      <w:r w:rsidR="00467275">
        <w:rPr>
          <w:b/>
          <w:bCs/>
          <w:i/>
          <w:iCs/>
          <w:color w:val="D86DCB" w:themeColor="accent5" w:themeTint="99"/>
        </w:rPr>
        <w:t xml:space="preserve"> – </w:t>
      </w:r>
      <w:r w:rsidR="00467275" w:rsidRPr="00753434">
        <w:t xml:space="preserve">in this case, VCAT reaffirmed that “services” includes a wide range of activities provided by government bodies, not just commercial or voluntary services.  VCAT </w:t>
      </w:r>
      <w:r w:rsidR="003850EC" w:rsidRPr="00753434">
        <w:t>emphasised</w:t>
      </w:r>
      <w:r w:rsidR="00467275" w:rsidRPr="00753434">
        <w:t xml:space="preserve"> that when determining what is a service you must look at the nature of the function being exercised.</w:t>
      </w:r>
      <w:r w:rsidR="00467275" w:rsidRPr="00753434">
        <w:rPr>
          <w:b/>
          <w:bCs/>
          <w:i/>
          <w:iCs/>
        </w:rPr>
        <w:t xml:space="preserve"> </w:t>
      </w:r>
    </w:p>
    <w:p w14:paraId="61EC5413" w14:textId="77777777" w:rsidR="00753434" w:rsidRPr="00753434" w:rsidRDefault="00753434" w:rsidP="00753434">
      <w:pPr>
        <w:pStyle w:val="ListParagraph"/>
        <w:rPr>
          <w:b/>
          <w:bCs/>
          <w:i/>
          <w:iCs/>
          <w:color w:val="D86DCB" w:themeColor="accent5" w:themeTint="99"/>
        </w:rPr>
      </w:pPr>
    </w:p>
    <w:p w14:paraId="17603C0C" w14:textId="112D8525" w:rsidR="00753434" w:rsidRDefault="00753434" w:rsidP="00062498">
      <w:pPr>
        <w:pStyle w:val="ListParagraph"/>
        <w:numPr>
          <w:ilvl w:val="0"/>
          <w:numId w:val="1"/>
        </w:numPr>
      </w:pPr>
      <w:r w:rsidRPr="00753434">
        <w:lastRenderedPageBreak/>
        <w:t xml:space="preserve">As s 10 (1) of the </w:t>
      </w:r>
      <w:r w:rsidRPr="00F72C5B">
        <w:rPr>
          <w:i/>
          <w:iCs/>
        </w:rPr>
        <w:t>CYFA</w:t>
      </w:r>
      <w:r w:rsidRPr="00753434">
        <w:t xml:space="preserve"> says that all DFFH actions must be in the best interests of a child, therefore you could utilise this section to argue that everything they are doing is arguably a service to them. </w:t>
      </w:r>
    </w:p>
    <w:p w14:paraId="41210D34" w14:textId="3BEAF6F8" w:rsidR="00917A54" w:rsidRDefault="0083465A" w:rsidP="00917A54">
      <w:pPr>
        <w:rPr>
          <w:b/>
          <w:bCs/>
        </w:rPr>
      </w:pPr>
      <w:r w:rsidRPr="0083465A">
        <w:rPr>
          <w:b/>
          <w:bCs/>
          <w:highlight w:val="lightGray"/>
        </w:rPr>
        <w:t>Advocacy Pathways</w:t>
      </w:r>
      <w:r>
        <w:rPr>
          <w:b/>
          <w:bCs/>
        </w:rPr>
        <w:t xml:space="preserve"> </w:t>
      </w:r>
    </w:p>
    <w:p w14:paraId="4FF733AF" w14:textId="0698C93C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Talk to the Child Protection Practitioner (CPP):</w:t>
      </w:r>
      <w:r w:rsidRPr="004C0DB0">
        <w:br/>
        <w:t xml:space="preserve">If your client’s human rights are being affected, raise the issue with the CPP working on the case. </w:t>
      </w:r>
    </w:p>
    <w:p w14:paraId="22FBBF06" w14:textId="77777777" w:rsidR="00CD4C19" w:rsidRPr="004C0DB0" w:rsidRDefault="00CD4C19" w:rsidP="00CD4C19">
      <w:pPr>
        <w:pStyle w:val="ListParagraph"/>
        <w:spacing w:after="0" w:line="240" w:lineRule="auto"/>
      </w:pPr>
    </w:p>
    <w:p w14:paraId="0217EADA" w14:textId="267FBF91" w:rsidR="00040FEC" w:rsidRDefault="004C0DB0" w:rsidP="00040FEC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Escalate to management or make a formal complaint to DFFH:</w:t>
      </w:r>
      <w:r w:rsidRPr="004C0DB0">
        <w:br/>
        <w:t xml:space="preserve">If the CPP doesn’t resolve the issue, take it to senior staff at </w:t>
      </w:r>
      <w:r w:rsidR="007E35E1">
        <w:t>DFFH</w:t>
      </w:r>
      <w:r w:rsidRPr="004C0DB0">
        <w:t xml:space="preserve">, or make a formal complaint to the department. </w:t>
      </w:r>
    </w:p>
    <w:p w14:paraId="1394AE48" w14:textId="77777777" w:rsidR="00040FEC" w:rsidRPr="004C0DB0" w:rsidRDefault="00040FEC" w:rsidP="00040FEC">
      <w:pPr>
        <w:spacing w:after="0" w:line="240" w:lineRule="auto"/>
      </w:pPr>
    </w:p>
    <w:p w14:paraId="1CB35C9D" w14:textId="0ED3C979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Contact the Victorian Ombudsman:</w:t>
      </w:r>
      <w:r w:rsidRPr="004C0DB0">
        <w:br/>
        <w:t xml:space="preserve">You can complain to the Ombudsman, who checks whether DFFH acted fairly, lawfully, and reasonably, and whether human rights were properly considered. </w:t>
      </w:r>
    </w:p>
    <w:p w14:paraId="54FC61F3" w14:textId="77777777" w:rsidR="00040FEC" w:rsidRPr="004C0DB0" w:rsidRDefault="00040FEC" w:rsidP="00040FEC">
      <w:pPr>
        <w:spacing w:after="0" w:line="240" w:lineRule="auto"/>
      </w:pPr>
    </w:p>
    <w:p w14:paraId="27F4A803" w14:textId="533944B1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Make a complaint to</w:t>
      </w:r>
      <w:r w:rsidRPr="004C0DB0">
        <w:rPr>
          <w:b/>
          <w:bCs/>
        </w:rPr>
        <w:t xml:space="preserve"> the Victorian Equal Opportunity &amp; Human Rights Commission (VEOHRC):</w:t>
      </w:r>
      <w:r w:rsidRPr="004C0DB0">
        <w:br/>
      </w:r>
      <w:r w:rsidR="00C04CC4">
        <w:t>Lodge a complaint for disability discrimination</w:t>
      </w:r>
      <w:r w:rsidRPr="004C0DB0">
        <w:t xml:space="preserve"> or breaches of </w:t>
      </w:r>
      <w:r w:rsidR="00FB644E">
        <w:t>the Charter</w:t>
      </w:r>
      <w:r w:rsidRPr="004C0DB0">
        <w:t xml:space="preserve">. This applies Victorian laws only (not Commonwealth law like </w:t>
      </w:r>
      <w:r w:rsidR="00FB644E">
        <w:t>the DDA</w:t>
      </w:r>
      <w:r w:rsidRPr="004C0DB0">
        <w:t xml:space="preserve">). </w:t>
      </w:r>
    </w:p>
    <w:p w14:paraId="4C90C850" w14:textId="77777777" w:rsidR="00040FEC" w:rsidRPr="004C0DB0" w:rsidRDefault="00040FEC" w:rsidP="00040FEC">
      <w:pPr>
        <w:spacing w:after="0" w:line="240" w:lineRule="auto"/>
      </w:pPr>
    </w:p>
    <w:p w14:paraId="6FDE3EAC" w14:textId="09DAFD32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C</w:t>
      </w:r>
      <w:r>
        <w:rPr>
          <w:b/>
          <w:bCs/>
        </w:rPr>
        <w:t>omplain to</w:t>
      </w:r>
      <w:r w:rsidRPr="004C0DB0">
        <w:rPr>
          <w:b/>
          <w:bCs/>
        </w:rPr>
        <w:t xml:space="preserve"> the Australian Human Rights Commission (AHRC):</w:t>
      </w:r>
      <w:r w:rsidRPr="004C0DB0">
        <w:br/>
      </w:r>
      <w:r w:rsidR="00C04CC4">
        <w:t>Lodge a complaint</w:t>
      </w:r>
      <w:r w:rsidRPr="004C0DB0">
        <w:t xml:space="preserve"> for disability discrimination matters under </w:t>
      </w:r>
      <w:r w:rsidR="00C04CC4">
        <w:t xml:space="preserve">the DDA. </w:t>
      </w:r>
      <w:r w:rsidR="00FB644E">
        <w:t xml:space="preserve"> </w:t>
      </w:r>
      <w:r w:rsidRPr="004C0DB0">
        <w:t xml:space="preserve"> </w:t>
      </w:r>
    </w:p>
    <w:p w14:paraId="5B456D04" w14:textId="77777777" w:rsidR="00040FEC" w:rsidRPr="004C0DB0" w:rsidRDefault="00040FEC" w:rsidP="00040FEC">
      <w:pPr>
        <w:spacing w:after="0" w:line="240" w:lineRule="auto"/>
      </w:pPr>
    </w:p>
    <w:p w14:paraId="3C17468B" w14:textId="7251F7C1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Contact the Minister:</w:t>
      </w:r>
      <w:r w:rsidRPr="004C0DB0">
        <w:br/>
        <w:t>You can write to the Minister responsible for child protection</w:t>
      </w:r>
      <w:r>
        <w:t xml:space="preserve"> and</w:t>
      </w:r>
      <w:r w:rsidRPr="004C0DB0">
        <w:t xml:space="preserve"> disability services and ask for help with the issue. </w:t>
      </w:r>
    </w:p>
    <w:p w14:paraId="5B06B794" w14:textId="77777777" w:rsidR="00040FEC" w:rsidRPr="004C0DB0" w:rsidRDefault="00040FEC" w:rsidP="00040FEC">
      <w:pPr>
        <w:spacing w:after="0" w:line="240" w:lineRule="auto"/>
      </w:pPr>
    </w:p>
    <w:p w14:paraId="63FA184A" w14:textId="742AFCE2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Contact the Commission for Children and Young People:</w:t>
      </w:r>
      <w:r w:rsidRPr="004C0DB0">
        <w:br/>
        <w:t xml:space="preserve">Use this if there are concerns about a child’s safety, care, neglect, or if the child isn’t being properly heard. </w:t>
      </w:r>
    </w:p>
    <w:p w14:paraId="21669E30" w14:textId="77777777" w:rsidR="00040FEC" w:rsidRPr="004C0DB0" w:rsidRDefault="00040FEC" w:rsidP="00040FEC">
      <w:pPr>
        <w:spacing w:after="0" w:line="240" w:lineRule="auto"/>
      </w:pPr>
    </w:p>
    <w:p w14:paraId="0C82A7E7" w14:textId="46253B94" w:rsidR="004C0DB0" w:rsidRDefault="004C0DB0" w:rsidP="004C0DB0">
      <w:pPr>
        <w:pStyle w:val="ListParagraph"/>
        <w:numPr>
          <w:ilvl w:val="0"/>
          <w:numId w:val="5"/>
        </w:numPr>
        <w:spacing w:after="0" w:line="240" w:lineRule="auto"/>
      </w:pPr>
      <w:r w:rsidRPr="004C0DB0">
        <w:rPr>
          <w:b/>
          <w:bCs/>
        </w:rPr>
        <w:t>Raise issues in court (Children’s Court):</w:t>
      </w:r>
      <w:r w:rsidRPr="004C0DB0">
        <w:rPr>
          <w:b/>
          <w:bCs/>
        </w:rPr>
        <w:br/>
      </w:r>
      <w:r w:rsidRPr="004C0DB0">
        <w:t xml:space="preserve">If your client doesn’t have a lawyer and accessibility issues are affecting their ability to take part in </w:t>
      </w:r>
      <w:r w:rsidR="00040FEC" w:rsidRPr="004C0DB0">
        <w:t>court;</w:t>
      </w:r>
      <w:r w:rsidRPr="004C0DB0">
        <w:t xml:space="preserve"> you can write to the court registry and address it to the magistrate. </w:t>
      </w:r>
    </w:p>
    <w:p w14:paraId="2184AA47" w14:textId="77777777" w:rsidR="00040FEC" w:rsidRPr="004C0DB0" w:rsidRDefault="00040FEC" w:rsidP="00040FEC">
      <w:pPr>
        <w:spacing w:after="0" w:line="240" w:lineRule="auto"/>
      </w:pPr>
    </w:p>
    <w:p w14:paraId="4C429486" w14:textId="59F8244E" w:rsidR="00382A14" w:rsidRPr="00040FEC" w:rsidRDefault="004C0DB0" w:rsidP="00382A14">
      <w:pPr>
        <w:pStyle w:val="ListParagraph"/>
        <w:numPr>
          <w:ilvl w:val="0"/>
          <w:numId w:val="5"/>
        </w:numPr>
      </w:pPr>
      <w:r w:rsidRPr="004C0DB0">
        <w:rPr>
          <w:b/>
          <w:bCs/>
        </w:rPr>
        <w:lastRenderedPageBreak/>
        <w:t>Speak to the client’s lawyer:</w:t>
      </w:r>
      <w:r w:rsidRPr="004C0DB0">
        <w:br/>
        <w:t>If your client already has legal representation, raise the issue with their lawyer. If the problem is with the lawyer, talk to the client about finding a new one.</w:t>
      </w:r>
    </w:p>
    <w:p w14:paraId="1F96A472" w14:textId="5926F60E" w:rsidR="00917A54" w:rsidRPr="001C23F1" w:rsidRDefault="001C23F1" w:rsidP="001C23F1">
      <w:pPr>
        <w:jc w:val="center"/>
        <w:rPr>
          <w:b/>
          <w:bCs/>
        </w:rPr>
      </w:pPr>
      <w:r w:rsidRPr="00040FEC">
        <w:rPr>
          <w:b/>
          <w:bCs/>
          <w:highlight w:val="lightGray"/>
        </w:rPr>
        <w:t>Unsure</w:t>
      </w:r>
      <w:r w:rsidRPr="00040FEC">
        <w:rPr>
          <w:b/>
          <w:bCs/>
          <w:highlight w:val="lightGray"/>
        </w:rPr>
        <w:t xml:space="preserve"> About Applicable Discrimination Law or Complaint Jurisdiction</w:t>
      </w:r>
    </w:p>
    <w:p w14:paraId="0262A777" w14:textId="319A04AE" w:rsidR="00B853B4" w:rsidRDefault="00B853B4" w:rsidP="00B853B4">
      <w:pPr>
        <w:pStyle w:val="ListParagraph"/>
        <w:numPr>
          <w:ilvl w:val="0"/>
          <w:numId w:val="4"/>
        </w:numPr>
      </w:pPr>
      <w:r>
        <w:t xml:space="preserve">Connect your client with a lawyer to get advice about this. </w:t>
      </w:r>
      <w:r w:rsidR="004676DB">
        <w:t xml:space="preserve">Based on the lawyer’s advice, you can then choose the best pathway to assist your client.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7A54" w14:paraId="5652A90C" w14:textId="77777777" w:rsidTr="004C0DB0">
        <w:tc>
          <w:tcPr>
            <w:tcW w:w="3005" w:type="dxa"/>
            <w:shd w:val="clear" w:color="auto" w:fill="83CAEB" w:themeFill="accent1" w:themeFillTint="66"/>
          </w:tcPr>
          <w:p w14:paraId="0C475BCC" w14:textId="087E5C60" w:rsidR="00917A54" w:rsidRPr="004C0DB0" w:rsidRDefault="004676DB" w:rsidP="004C0DB0">
            <w:pPr>
              <w:jc w:val="center"/>
              <w:rPr>
                <w:b/>
                <w:bCs/>
              </w:rPr>
            </w:pPr>
            <w:r w:rsidRPr="004C0DB0">
              <w:rPr>
                <w:b/>
                <w:bCs/>
              </w:rPr>
              <w:t xml:space="preserve">Federal system (federal means </w:t>
            </w:r>
            <w:r w:rsidR="00E616A7" w:rsidRPr="004C0DB0">
              <w:rPr>
                <w:b/>
                <w:bCs/>
              </w:rPr>
              <w:t>it covers all of Australia)</w:t>
            </w:r>
          </w:p>
        </w:tc>
        <w:tc>
          <w:tcPr>
            <w:tcW w:w="3005" w:type="dxa"/>
            <w:shd w:val="clear" w:color="auto" w:fill="83CAEB" w:themeFill="accent1" w:themeFillTint="66"/>
          </w:tcPr>
          <w:p w14:paraId="28994959" w14:textId="735F7C95" w:rsidR="00917A54" w:rsidRPr="004C0DB0" w:rsidRDefault="00E616A7" w:rsidP="004C0DB0">
            <w:pPr>
              <w:jc w:val="center"/>
              <w:rPr>
                <w:b/>
                <w:bCs/>
              </w:rPr>
            </w:pPr>
            <w:r w:rsidRPr="004C0DB0">
              <w:rPr>
                <w:b/>
                <w:bCs/>
              </w:rPr>
              <w:t>State system (just covers Victoria)</w:t>
            </w:r>
          </w:p>
        </w:tc>
        <w:tc>
          <w:tcPr>
            <w:tcW w:w="3006" w:type="dxa"/>
            <w:shd w:val="clear" w:color="auto" w:fill="83CAEB" w:themeFill="accent1" w:themeFillTint="66"/>
          </w:tcPr>
          <w:p w14:paraId="1B9FA391" w14:textId="56C9CB9C" w:rsidR="00917A54" w:rsidRPr="004C0DB0" w:rsidRDefault="00E616A7" w:rsidP="004C0DB0">
            <w:pPr>
              <w:jc w:val="center"/>
              <w:rPr>
                <w:b/>
                <w:bCs/>
              </w:rPr>
            </w:pPr>
            <w:r w:rsidRPr="004C0DB0">
              <w:rPr>
                <w:b/>
                <w:bCs/>
              </w:rPr>
              <w:t>State system (just covers Victoria)</w:t>
            </w:r>
            <w:r w:rsidR="00BA1EA0" w:rsidRPr="004C0DB0">
              <w:rPr>
                <w:b/>
                <w:bCs/>
              </w:rPr>
              <w:t xml:space="preserve"> – for human rights</w:t>
            </w:r>
          </w:p>
        </w:tc>
      </w:tr>
      <w:tr w:rsidR="00917A54" w14:paraId="134B93BB" w14:textId="77777777" w:rsidTr="00917A54">
        <w:tc>
          <w:tcPr>
            <w:tcW w:w="3005" w:type="dxa"/>
          </w:tcPr>
          <w:p w14:paraId="3C2C141E" w14:textId="069680F4" w:rsidR="00917A54" w:rsidRDefault="00E616A7" w:rsidP="00382A14">
            <w:pPr>
              <w:jc w:val="center"/>
            </w:pPr>
            <w:r>
              <w:t>Legislation: DDA</w:t>
            </w:r>
          </w:p>
        </w:tc>
        <w:tc>
          <w:tcPr>
            <w:tcW w:w="3005" w:type="dxa"/>
          </w:tcPr>
          <w:p w14:paraId="020C85D0" w14:textId="3B122A42" w:rsidR="00917A54" w:rsidRDefault="00E616A7" w:rsidP="00382A14">
            <w:pPr>
              <w:jc w:val="center"/>
            </w:pPr>
            <w:r>
              <w:t>Legislation: EOA</w:t>
            </w:r>
          </w:p>
        </w:tc>
        <w:tc>
          <w:tcPr>
            <w:tcW w:w="3006" w:type="dxa"/>
          </w:tcPr>
          <w:p w14:paraId="357637E8" w14:textId="01459E93" w:rsidR="00917A54" w:rsidRDefault="00BA1EA0" w:rsidP="00382A14">
            <w:pPr>
              <w:jc w:val="center"/>
            </w:pPr>
            <w:r>
              <w:t>Legislation: Charter (s 8 – the right to equality addresses discrimination)</w:t>
            </w:r>
          </w:p>
        </w:tc>
      </w:tr>
      <w:tr w:rsidR="00917A54" w14:paraId="7E4F65AF" w14:textId="77777777" w:rsidTr="00917A54">
        <w:tc>
          <w:tcPr>
            <w:tcW w:w="3005" w:type="dxa"/>
          </w:tcPr>
          <w:p w14:paraId="556F2C3F" w14:textId="6B9F7A26" w:rsidR="00917A54" w:rsidRDefault="00123800" w:rsidP="00382A14">
            <w:pPr>
              <w:jc w:val="center"/>
            </w:pPr>
            <w:r>
              <w:t>Conciliation at the AHRC (voluntary process)</w:t>
            </w:r>
          </w:p>
        </w:tc>
        <w:tc>
          <w:tcPr>
            <w:tcW w:w="3005" w:type="dxa"/>
          </w:tcPr>
          <w:p w14:paraId="25015963" w14:textId="507B4737" w:rsidR="00917A54" w:rsidRDefault="00123800" w:rsidP="00382A14">
            <w:pPr>
              <w:jc w:val="center"/>
            </w:pPr>
            <w:r>
              <w:t>Conciliation at VEOHRC (voluntary)</w:t>
            </w:r>
          </w:p>
        </w:tc>
        <w:tc>
          <w:tcPr>
            <w:tcW w:w="3006" w:type="dxa"/>
          </w:tcPr>
          <w:p w14:paraId="3FCEDF0A" w14:textId="3DC9E59B" w:rsidR="00917A54" w:rsidRDefault="00123800" w:rsidP="00382A14">
            <w:pPr>
              <w:jc w:val="center"/>
            </w:pPr>
            <w:r>
              <w:t>Vic Ombo, VEOHRC, VCAT</w:t>
            </w:r>
          </w:p>
        </w:tc>
      </w:tr>
      <w:tr w:rsidR="00917A54" w14:paraId="6E8160C2" w14:textId="77777777" w:rsidTr="00917A54">
        <w:tc>
          <w:tcPr>
            <w:tcW w:w="3005" w:type="dxa"/>
          </w:tcPr>
          <w:p w14:paraId="46FCEFB9" w14:textId="399CAFDB" w:rsidR="00917A54" w:rsidRDefault="00123800" w:rsidP="00382A14">
            <w:pPr>
              <w:jc w:val="center"/>
            </w:pPr>
            <w:r>
              <w:t>Court Hearing</w:t>
            </w:r>
          </w:p>
        </w:tc>
        <w:tc>
          <w:tcPr>
            <w:tcW w:w="3005" w:type="dxa"/>
          </w:tcPr>
          <w:p w14:paraId="70855D80" w14:textId="0377933E" w:rsidR="00917A54" w:rsidRDefault="00123800" w:rsidP="00382A14">
            <w:pPr>
              <w:jc w:val="center"/>
            </w:pPr>
            <w:r>
              <w:t>Medication at VEOHRC (compulsory)</w:t>
            </w:r>
          </w:p>
        </w:tc>
        <w:tc>
          <w:tcPr>
            <w:tcW w:w="3006" w:type="dxa"/>
          </w:tcPr>
          <w:p w14:paraId="4760FAC6" w14:textId="77777777" w:rsidR="00917A54" w:rsidRDefault="00917A54" w:rsidP="00382A14">
            <w:pPr>
              <w:jc w:val="center"/>
            </w:pPr>
          </w:p>
        </w:tc>
      </w:tr>
    </w:tbl>
    <w:p w14:paraId="31A925EF" w14:textId="77777777" w:rsidR="00917A54" w:rsidRDefault="00917A54" w:rsidP="00917A54"/>
    <w:p w14:paraId="768E30F2" w14:textId="03C4C676" w:rsidR="001C23F1" w:rsidRDefault="00A43A13" w:rsidP="001C23F1">
      <w:pPr>
        <w:jc w:val="center"/>
        <w:rPr>
          <w:b/>
          <w:bCs/>
        </w:rPr>
      </w:pPr>
      <w:r w:rsidRPr="001C49CD">
        <w:rPr>
          <w:b/>
          <w:bCs/>
          <w:highlight w:val="lightGray"/>
        </w:rPr>
        <w:t>Summarised Version of Charter Rights</w:t>
      </w:r>
      <w:r>
        <w:rPr>
          <w:b/>
          <w:bCs/>
        </w:rPr>
        <w:t xml:space="preserve"> </w:t>
      </w:r>
    </w:p>
    <w:p w14:paraId="6E90A3CD" w14:textId="45BAF4F4" w:rsidR="001D2317" w:rsidRDefault="001D2317" w:rsidP="001C23F1">
      <w:pPr>
        <w:jc w:val="center"/>
        <w:rPr>
          <w:b/>
          <w:bCs/>
        </w:rPr>
      </w:pPr>
      <w:r>
        <w:rPr>
          <w:b/>
          <w:bCs/>
        </w:rPr>
        <w:t>(</w:t>
      </w:r>
      <w:r w:rsidR="00CD4C19">
        <w:rPr>
          <w:b/>
          <w:bCs/>
        </w:rPr>
        <w:t>t</w:t>
      </w:r>
      <w:r>
        <w:rPr>
          <w:b/>
          <w:bCs/>
        </w:rPr>
        <w:t xml:space="preserve">hat may be applicable in child protection cases)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0E04" w14:paraId="0CD8FDAE" w14:textId="77777777" w:rsidTr="00FD0E04">
        <w:tc>
          <w:tcPr>
            <w:tcW w:w="4508" w:type="dxa"/>
          </w:tcPr>
          <w:p w14:paraId="412E4F3F" w14:textId="7DDE5E63" w:rsidR="00FD0E04" w:rsidRDefault="00562465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8 – </w:t>
            </w:r>
            <w:r w:rsidRPr="00562465">
              <w:t>the right to recognition and equality before the law (use this if your client is being discriminated against)</w:t>
            </w:r>
          </w:p>
        </w:tc>
        <w:tc>
          <w:tcPr>
            <w:tcW w:w="4508" w:type="dxa"/>
          </w:tcPr>
          <w:p w14:paraId="28A2E932" w14:textId="5DB05E56" w:rsidR="00FD0E04" w:rsidRDefault="006B5E23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17 – the right to protection of families and children</w:t>
            </w:r>
          </w:p>
        </w:tc>
      </w:tr>
      <w:tr w:rsidR="00FD0E04" w14:paraId="4D94C698" w14:textId="77777777" w:rsidTr="00FD0E04">
        <w:tc>
          <w:tcPr>
            <w:tcW w:w="4508" w:type="dxa"/>
          </w:tcPr>
          <w:p w14:paraId="7B88BFDE" w14:textId="4B1345B4" w:rsidR="00FD0E04" w:rsidRDefault="00562465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9 </w:t>
            </w:r>
            <w:r w:rsidRPr="001C49CD">
              <w:t>– the right to life.</w:t>
            </w:r>
          </w:p>
        </w:tc>
        <w:tc>
          <w:tcPr>
            <w:tcW w:w="4508" w:type="dxa"/>
          </w:tcPr>
          <w:p w14:paraId="4835A8AD" w14:textId="3D65E428" w:rsidR="00FD0E04" w:rsidRDefault="001C49CD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19 </w:t>
            </w:r>
            <w:r w:rsidRPr="001C49CD">
              <w:t>– cultural rights, including aboriginal cultural rights.</w:t>
            </w:r>
          </w:p>
        </w:tc>
      </w:tr>
      <w:tr w:rsidR="00FD0E04" w14:paraId="526CEF23" w14:textId="77777777" w:rsidTr="00FD0E04">
        <w:tc>
          <w:tcPr>
            <w:tcW w:w="4508" w:type="dxa"/>
          </w:tcPr>
          <w:p w14:paraId="5F939593" w14:textId="07B52C29" w:rsidR="00FD0E04" w:rsidRDefault="00A43A13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10 </w:t>
            </w:r>
            <w:r w:rsidRPr="001C49CD">
              <w:t>– the right to protection from torture, cruel, inhumane or degrading treatment.</w:t>
            </w:r>
          </w:p>
        </w:tc>
        <w:tc>
          <w:tcPr>
            <w:tcW w:w="4508" w:type="dxa"/>
          </w:tcPr>
          <w:p w14:paraId="3BDE18DF" w14:textId="691993E1" w:rsidR="00FD0E04" w:rsidRDefault="001C49CD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24 </w:t>
            </w:r>
            <w:r w:rsidRPr="001C49CD">
              <w:t>– the right to a fair hearing.</w:t>
            </w:r>
          </w:p>
        </w:tc>
      </w:tr>
      <w:tr w:rsidR="00FD0E04" w14:paraId="5BF926C0" w14:textId="77777777" w:rsidTr="00FD0E04">
        <w:tc>
          <w:tcPr>
            <w:tcW w:w="4508" w:type="dxa"/>
          </w:tcPr>
          <w:p w14:paraId="381F0089" w14:textId="3C502148" w:rsidR="00FD0E04" w:rsidRDefault="006B5E23" w:rsidP="00382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13 </w:t>
            </w:r>
            <w:r w:rsidRPr="001C49CD">
              <w:t>– the right to privacy and reputation</w:t>
            </w:r>
            <w:r w:rsidR="001C49CD" w:rsidRPr="001C49CD">
              <w:t>.</w:t>
            </w:r>
          </w:p>
        </w:tc>
        <w:tc>
          <w:tcPr>
            <w:tcW w:w="4508" w:type="dxa"/>
          </w:tcPr>
          <w:p w14:paraId="1864540D" w14:textId="77777777" w:rsidR="00FD0E04" w:rsidRDefault="00FD0E04" w:rsidP="00382A14">
            <w:pPr>
              <w:jc w:val="center"/>
              <w:rPr>
                <w:b/>
                <w:bCs/>
              </w:rPr>
            </w:pPr>
          </w:p>
        </w:tc>
      </w:tr>
    </w:tbl>
    <w:p w14:paraId="333D6482" w14:textId="77777777" w:rsidR="00FD0E04" w:rsidRPr="001C23F1" w:rsidRDefault="00FD0E04" w:rsidP="00FD0E04">
      <w:pPr>
        <w:rPr>
          <w:b/>
          <w:bCs/>
        </w:rPr>
      </w:pPr>
    </w:p>
    <w:sectPr w:rsidR="00FD0E04" w:rsidRPr="001C23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3B11" w14:textId="77777777" w:rsidR="000D08EE" w:rsidRDefault="000D08EE" w:rsidP="009E7195">
      <w:pPr>
        <w:spacing w:after="0" w:line="240" w:lineRule="auto"/>
      </w:pPr>
      <w:r>
        <w:separator/>
      </w:r>
    </w:p>
  </w:endnote>
  <w:endnote w:type="continuationSeparator" w:id="0">
    <w:p w14:paraId="0BCD5910" w14:textId="77777777" w:rsidR="000D08EE" w:rsidRDefault="000D08EE" w:rsidP="009E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515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C4C3D6" w14:textId="1765ABFA" w:rsidR="003850EC" w:rsidRDefault="003850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E8EFD9" w14:textId="77777777" w:rsidR="003850EC" w:rsidRDefault="00385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7B82" w14:textId="77777777" w:rsidR="000D08EE" w:rsidRDefault="000D08EE" w:rsidP="009E7195">
      <w:pPr>
        <w:spacing w:after="0" w:line="240" w:lineRule="auto"/>
      </w:pPr>
      <w:r>
        <w:separator/>
      </w:r>
    </w:p>
  </w:footnote>
  <w:footnote w:type="continuationSeparator" w:id="0">
    <w:p w14:paraId="451DE590" w14:textId="77777777" w:rsidR="000D08EE" w:rsidRDefault="000D08EE" w:rsidP="009E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7AD0" w14:textId="77777777" w:rsidR="009E7195" w:rsidRPr="00A34E2E" w:rsidRDefault="009E7195" w:rsidP="009E7195">
    <w:pPr>
      <w:pStyle w:val="Header"/>
      <w:spacing w:line="360" w:lineRule="auto"/>
      <w:jc w:val="right"/>
      <w:rPr>
        <w:rFonts w:ascii="Calibri" w:hAnsi="Calibri" w:cs="Calibri"/>
        <w:sz w:val="16"/>
        <w:szCs w:val="16"/>
      </w:rPr>
    </w:pPr>
  </w:p>
  <w:p w14:paraId="04FD4593" w14:textId="77777777" w:rsidR="009E7195" w:rsidRDefault="009E7195" w:rsidP="009E71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D896A3" wp14:editId="6D17A9ED">
          <wp:simplePos x="0" y="0"/>
          <wp:positionH relativeFrom="column">
            <wp:posOffset>4791075</wp:posOffset>
          </wp:positionH>
          <wp:positionV relativeFrom="paragraph">
            <wp:posOffset>-144780</wp:posOffset>
          </wp:positionV>
          <wp:extent cx="1048385" cy="822960"/>
          <wp:effectExtent l="0" t="0" r="0" b="0"/>
          <wp:wrapSquare wrapText="bothSides"/>
          <wp:docPr id="482010147" name="Picture 1" descr="A logo with a shield and sca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10147" name="Picture 1" descr="A logo with a shield and scales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2BAE0" w14:textId="77777777" w:rsidR="009E7195" w:rsidRPr="000E19A8" w:rsidRDefault="009E7195" w:rsidP="009E7195">
    <w:pPr>
      <w:pStyle w:val="Header"/>
      <w:rPr>
        <w:rFonts w:ascii="Calibri" w:hAnsi="Calibri" w:cs="Calibri"/>
        <w:b/>
        <w:bCs/>
        <w:sz w:val="16"/>
        <w:szCs w:val="16"/>
      </w:rPr>
    </w:pPr>
  </w:p>
  <w:p w14:paraId="7DA7C5C3" w14:textId="77777777" w:rsidR="009E7195" w:rsidRDefault="009E7195" w:rsidP="009E7195">
    <w:pPr>
      <w:pStyle w:val="Header"/>
      <w:jc w:val="center"/>
      <w:rPr>
        <w:rFonts w:ascii="Calibri" w:hAnsi="Calibri" w:cs="Calibri"/>
        <w:sz w:val="16"/>
        <w:szCs w:val="16"/>
      </w:rPr>
    </w:pPr>
  </w:p>
  <w:p w14:paraId="285AD85B" w14:textId="77777777" w:rsidR="009E7195" w:rsidRDefault="009E7195" w:rsidP="009E7195">
    <w:pPr>
      <w:pStyle w:val="Header"/>
    </w:pPr>
  </w:p>
  <w:p w14:paraId="402AE11E" w14:textId="77777777" w:rsidR="009E7195" w:rsidRDefault="009E7195" w:rsidP="009E7195">
    <w:pPr>
      <w:pStyle w:val="Header"/>
      <w:tabs>
        <w:tab w:val="clear" w:pos="4513"/>
        <w:tab w:val="clear" w:pos="9026"/>
        <w:tab w:val="left" w:pos="5415"/>
      </w:tabs>
    </w:pPr>
    <w:r>
      <w:tab/>
    </w:r>
  </w:p>
  <w:p w14:paraId="480B0F5E" w14:textId="77777777" w:rsidR="009E7195" w:rsidRPr="00A34E2E" w:rsidRDefault="009E7195" w:rsidP="009E7195">
    <w:pPr>
      <w:pStyle w:val="Header"/>
      <w:spacing w:line="360" w:lineRule="auto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A34E2E">
      <w:rPr>
        <w:rFonts w:ascii="Calibri" w:hAnsi="Calibri" w:cs="Calibri"/>
        <w:sz w:val="16"/>
        <w:szCs w:val="16"/>
      </w:rPr>
      <w:t xml:space="preserve"> </w:t>
    </w:r>
    <w:r w:rsidRPr="00A34E2E">
      <w:rPr>
        <w:rFonts w:ascii="Calibri" w:hAnsi="Calibri" w:cs="Calibri"/>
        <w:b/>
        <w:bCs/>
        <w:sz w:val="16"/>
        <w:szCs w:val="16"/>
      </w:rPr>
      <w:t>T:</w:t>
    </w:r>
    <w:r w:rsidRPr="00A34E2E">
      <w:rPr>
        <w:rFonts w:ascii="Calibri" w:hAnsi="Calibri" w:cs="Calibri"/>
        <w:sz w:val="16"/>
        <w:szCs w:val="16"/>
      </w:rPr>
      <w:t xml:space="preserve"> + 61 0493-355-558 </w:t>
    </w:r>
  </w:p>
  <w:p w14:paraId="6B597053" w14:textId="77777777" w:rsidR="009E7195" w:rsidRPr="00A34E2E" w:rsidRDefault="009E7195" w:rsidP="009E7195">
    <w:pPr>
      <w:pStyle w:val="Header"/>
      <w:spacing w:line="360" w:lineRule="auto"/>
      <w:jc w:val="right"/>
      <w:rPr>
        <w:rFonts w:ascii="Calibri" w:hAnsi="Calibri" w:cs="Calibri"/>
        <w:sz w:val="16"/>
        <w:szCs w:val="16"/>
      </w:rPr>
    </w:pPr>
    <w:r w:rsidRPr="00A34E2E">
      <w:rPr>
        <w:rFonts w:ascii="Calibri" w:hAnsi="Calibri" w:cs="Calibri"/>
        <w:b/>
        <w:bCs/>
        <w:sz w:val="16"/>
        <w:szCs w:val="16"/>
      </w:rPr>
      <w:t>E:</w:t>
    </w:r>
    <w:r w:rsidRPr="00A34E2E">
      <w:rPr>
        <w:rFonts w:ascii="Calibri" w:hAnsi="Calibri" w:cs="Calibri"/>
        <w:sz w:val="16"/>
        <w:szCs w:val="16"/>
      </w:rPr>
      <w:t xml:space="preserve"> </w:t>
    </w:r>
    <w:hyperlink r:id="rId2" w:history="1">
      <w:r w:rsidRPr="00A34E2E">
        <w:rPr>
          <w:rStyle w:val="Hyperlink"/>
          <w:rFonts w:ascii="Calibri" w:hAnsi="Calibri" w:cs="Calibri"/>
          <w:sz w:val="16"/>
          <w:szCs w:val="16"/>
        </w:rPr>
        <w:t>info@hrdlp.com.au</w:t>
      </w:r>
    </w:hyperlink>
    <w:r w:rsidRPr="00A34E2E">
      <w:rPr>
        <w:rFonts w:ascii="Calibri" w:hAnsi="Calibri" w:cs="Calibri"/>
        <w:sz w:val="16"/>
        <w:szCs w:val="16"/>
      </w:rPr>
      <w:t xml:space="preserve"> </w:t>
    </w:r>
  </w:p>
  <w:p w14:paraId="6136FE8F" w14:textId="77777777" w:rsidR="009E7195" w:rsidRPr="00A34E2E" w:rsidRDefault="009E7195" w:rsidP="009E7195">
    <w:pPr>
      <w:pStyle w:val="Header"/>
      <w:tabs>
        <w:tab w:val="clear" w:pos="9026"/>
        <w:tab w:val="left" w:pos="6090"/>
        <w:tab w:val="right" w:pos="9020"/>
      </w:tabs>
      <w:spacing w:line="360" w:lineRule="auto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hyperlink r:id="rId3" w:history="1">
      <w:r w:rsidRPr="00A34E2E">
        <w:rPr>
          <w:rStyle w:val="Hyperlink"/>
          <w:rFonts w:ascii="Calibri" w:hAnsi="Calibri" w:cs="Calibri"/>
          <w:sz w:val="16"/>
          <w:szCs w:val="16"/>
        </w:rPr>
        <w:t>www.hrdlp.com.au</w:t>
      </w:r>
    </w:hyperlink>
    <w:r w:rsidRPr="00A34E2E">
      <w:rPr>
        <w:rFonts w:ascii="Calibri" w:hAnsi="Calibri" w:cs="Calibri"/>
        <w:sz w:val="16"/>
        <w:szCs w:val="16"/>
      </w:rPr>
      <w:t xml:space="preserve"> </w:t>
    </w:r>
  </w:p>
  <w:p w14:paraId="15D0AF0F" w14:textId="77777777" w:rsidR="009E7195" w:rsidRPr="004A140B" w:rsidRDefault="009E7195" w:rsidP="009E7195">
    <w:pPr>
      <w:pStyle w:val="Header"/>
      <w:spacing w:line="360" w:lineRule="auto"/>
      <w:jc w:val="right"/>
    </w:pPr>
    <w:r w:rsidRPr="00A34E2E">
      <w:rPr>
        <w:rFonts w:ascii="Calibri" w:hAnsi="Calibri" w:cs="Calibri"/>
        <w:sz w:val="16"/>
        <w:szCs w:val="16"/>
      </w:rPr>
      <w:t>ABN 20 172 870 595</w:t>
    </w:r>
  </w:p>
  <w:p w14:paraId="0AB12360" w14:textId="77777777" w:rsidR="009E7195" w:rsidRDefault="009E7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83A"/>
      </v:shape>
    </w:pict>
  </w:numPicBullet>
  <w:abstractNum w:abstractNumId="0" w15:restartNumberingAfterBreak="0">
    <w:nsid w:val="015D7922"/>
    <w:multiLevelType w:val="hybridMultilevel"/>
    <w:tmpl w:val="9A1A74D8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332"/>
    <w:multiLevelType w:val="hybridMultilevel"/>
    <w:tmpl w:val="47C4AF86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D41003A"/>
    <w:multiLevelType w:val="hybridMultilevel"/>
    <w:tmpl w:val="BC162D8A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6228"/>
    <w:multiLevelType w:val="hybridMultilevel"/>
    <w:tmpl w:val="E7B6C4EA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34E76"/>
    <w:multiLevelType w:val="hybridMultilevel"/>
    <w:tmpl w:val="2E7CB86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3738">
    <w:abstractNumId w:val="4"/>
  </w:num>
  <w:num w:numId="2" w16cid:durableId="463931708">
    <w:abstractNumId w:val="1"/>
  </w:num>
  <w:num w:numId="3" w16cid:durableId="954794787">
    <w:abstractNumId w:val="0"/>
  </w:num>
  <w:num w:numId="4" w16cid:durableId="1017076202">
    <w:abstractNumId w:val="3"/>
  </w:num>
  <w:num w:numId="5" w16cid:durableId="180396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95"/>
    <w:rsid w:val="00040FEC"/>
    <w:rsid w:val="00062498"/>
    <w:rsid w:val="000C0D81"/>
    <w:rsid w:val="000D08EE"/>
    <w:rsid w:val="00123800"/>
    <w:rsid w:val="0015024C"/>
    <w:rsid w:val="00176415"/>
    <w:rsid w:val="001C23F1"/>
    <w:rsid w:val="001C49CD"/>
    <w:rsid w:val="001D2317"/>
    <w:rsid w:val="001D48F0"/>
    <w:rsid w:val="00220565"/>
    <w:rsid w:val="0024356C"/>
    <w:rsid w:val="00265DAE"/>
    <w:rsid w:val="002B00E7"/>
    <w:rsid w:val="00331D0A"/>
    <w:rsid w:val="00382A14"/>
    <w:rsid w:val="003850EC"/>
    <w:rsid w:val="003A5C4A"/>
    <w:rsid w:val="003F4A2B"/>
    <w:rsid w:val="00467275"/>
    <w:rsid w:val="004676DB"/>
    <w:rsid w:val="004A2540"/>
    <w:rsid w:val="004C0DB0"/>
    <w:rsid w:val="004F0F72"/>
    <w:rsid w:val="00510924"/>
    <w:rsid w:val="005377FD"/>
    <w:rsid w:val="00562465"/>
    <w:rsid w:val="005825E6"/>
    <w:rsid w:val="00584F34"/>
    <w:rsid w:val="00594463"/>
    <w:rsid w:val="005B2D08"/>
    <w:rsid w:val="005E3463"/>
    <w:rsid w:val="006B5E23"/>
    <w:rsid w:val="006E097F"/>
    <w:rsid w:val="00753434"/>
    <w:rsid w:val="00783EF6"/>
    <w:rsid w:val="007A0088"/>
    <w:rsid w:val="007D7EA2"/>
    <w:rsid w:val="007E35E1"/>
    <w:rsid w:val="00821592"/>
    <w:rsid w:val="00824FC1"/>
    <w:rsid w:val="0083465A"/>
    <w:rsid w:val="00864986"/>
    <w:rsid w:val="00917A54"/>
    <w:rsid w:val="009865D9"/>
    <w:rsid w:val="009E3719"/>
    <w:rsid w:val="009E7195"/>
    <w:rsid w:val="00A218CB"/>
    <w:rsid w:val="00A43A13"/>
    <w:rsid w:val="00A87588"/>
    <w:rsid w:val="00AE1186"/>
    <w:rsid w:val="00B066B5"/>
    <w:rsid w:val="00B322CC"/>
    <w:rsid w:val="00B42A7F"/>
    <w:rsid w:val="00B853B4"/>
    <w:rsid w:val="00BA1EA0"/>
    <w:rsid w:val="00BE20E7"/>
    <w:rsid w:val="00C04CC4"/>
    <w:rsid w:val="00CD1121"/>
    <w:rsid w:val="00CD4C19"/>
    <w:rsid w:val="00D93486"/>
    <w:rsid w:val="00E616A7"/>
    <w:rsid w:val="00F0701C"/>
    <w:rsid w:val="00F134B4"/>
    <w:rsid w:val="00F37BD1"/>
    <w:rsid w:val="00F4206B"/>
    <w:rsid w:val="00F46729"/>
    <w:rsid w:val="00F72C5B"/>
    <w:rsid w:val="00FB644E"/>
    <w:rsid w:val="00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16B4"/>
  <w15:chartTrackingRefBased/>
  <w15:docId w15:val="{7F77EA27-FA54-434E-9ED8-CF72ACB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1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95"/>
  </w:style>
  <w:style w:type="paragraph" w:styleId="Footer">
    <w:name w:val="footer"/>
    <w:basedOn w:val="Normal"/>
    <w:link w:val="FooterChar"/>
    <w:uiPriority w:val="99"/>
    <w:unhideWhenUsed/>
    <w:rsid w:val="009E7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95"/>
  </w:style>
  <w:style w:type="character" w:styleId="Hyperlink">
    <w:name w:val="Hyperlink"/>
    <w:basedOn w:val="DefaultParagraphFont"/>
    <w:uiPriority w:val="99"/>
    <w:unhideWhenUsed/>
    <w:rsid w:val="009E7195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E7195"/>
    <w:pPr>
      <w:spacing w:after="0" w:line="240" w:lineRule="auto"/>
    </w:pPr>
  </w:style>
  <w:style w:type="table" w:styleId="TableGrid">
    <w:name w:val="Table Grid"/>
    <w:basedOn w:val="TableNormal"/>
    <w:uiPriority w:val="39"/>
    <w:rsid w:val="0091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dlp.com.au" TargetMode="External"/><Relationship Id="rId2" Type="http://schemas.openxmlformats.org/officeDocument/2006/relationships/hyperlink" Target="mailto:info@hrdlp.com.au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4014C396D9D4EB29AD6286C487EEE" ma:contentTypeVersion="25" ma:contentTypeDescription="Create a new document." ma:contentTypeScope="" ma:versionID="03b542c508e604acc215453ee8f9d68d">
  <xsd:schema xmlns:xsd="http://www.w3.org/2001/XMLSchema" xmlns:xs="http://www.w3.org/2001/XMLSchema" xmlns:p="http://schemas.microsoft.com/office/2006/metadata/properties" xmlns:ns2="ba747ca7-30e4-452d-9078-5817fcdaaf58" xmlns:ns3="e5182f8f-f36a-407d-9450-71e491acbf3d" targetNamespace="http://schemas.microsoft.com/office/2006/metadata/properties" ma:root="true" ma:fieldsID="38a5e029e304a3c372099370d6c1cf9a" ns2:_="" ns3:_="">
    <xsd:import namespace="ba747ca7-30e4-452d-9078-5817fcdaaf58"/>
    <xsd:import namespace="e5182f8f-f36a-407d-9450-71e491acb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47ca7-30e4-452d-9078-5817fcdaa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d59a21-e079-4366-9046-1fe3b2844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82f8f-f36a-407d-9450-71e491ac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babf76-07a8-424c-b057-16f0992ccf29}" ma:internalName="TaxCatchAll" ma:showField="CatchAllData" ma:web="e5182f8f-f36a-407d-9450-71e491acb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747ca7-30e4-452d-9078-5817fcdaaf58">
      <Terms xmlns="http://schemas.microsoft.com/office/infopath/2007/PartnerControls"/>
    </lcf76f155ced4ddcb4097134ff3c332f>
    <TaxCatchAll xmlns="e5182f8f-f36a-407d-9450-71e491acbf3d" xsi:nil="true"/>
  </documentManagement>
</p:properties>
</file>

<file path=customXml/itemProps1.xml><?xml version="1.0" encoding="utf-8"?>
<ds:datastoreItem xmlns:ds="http://schemas.openxmlformats.org/officeDocument/2006/customXml" ds:itemID="{45B5B7FD-C095-466D-AE0D-14EF30D067F4}"/>
</file>

<file path=customXml/itemProps2.xml><?xml version="1.0" encoding="utf-8"?>
<ds:datastoreItem xmlns:ds="http://schemas.openxmlformats.org/officeDocument/2006/customXml" ds:itemID="{D7705584-544D-421A-A7B8-7DBEE237EE54}"/>
</file>

<file path=customXml/itemProps3.xml><?xml version="1.0" encoding="utf-8"?>
<ds:datastoreItem xmlns:ds="http://schemas.openxmlformats.org/officeDocument/2006/customXml" ds:itemID="{BAFACCF0-DECB-41C2-A941-E1B35B337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Failla</dc:creator>
  <cp:keywords/>
  <dc:description/>
  <cp:lastModifiedBy>Bianca Failla</cp:lastModifiedBy>
  <cp:revision>65</cp:revision>
  <dcterms:created xsi:type="dcterms:W3CDTF">2026-04-30T03:45:00Z</dcterms:created>
  <dcterms:modified xsi:type="dcterms:W3CDTF">2026-04-30T06:26:00Z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0x0101002214014C396D9D4EB29AD6286C487EEE</vt:lpwstr>
  </property>
</Properties>
</file>